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1E" w:rsidRPr="00067FEE" w:rsidRDefault="00736CFE">
      <w:pPr>
        <w:rPr>
          <w:b/>
        </w:rPr>
      </w:pPr>
      <w:r w:rsidRPr="00067FEE">
        <w:rPr>
          <w:b/>
        </w:rPr>
        <w:t xml:space="preserve">CV Reidar Visser  </w:t>
      </w:r>
      <w:bookmarkStart w:id="0" w:name="_GoBack"/>
      <w:bookmarkEnd w:id="0"/>
    </w:p>
    <w:p w:rsidR="0097351E" w:rsidRDefault="0097351E">
      <w:pPr>
        <w:rPr>
          <w:b/>
        </w:rPr>
      </w:pPr>
    </w:p>
    <w:p w:rsidR="0097351E" w:rsidRDefault="00736CFE">
      <w:pPr>
        <w:rPr>
          <w:b/>
        </w:rPr>
      </w:pPr>
      <w:r>
        <w:rPr>
          <w:b/>
        </w:rPr>
        <w:t>EDUCATION</w:t>
      </w:r>
    </w:p>
    <w:p w:rsidR="0097351E" w:rsidRDefault="00736CFE">
      <w:proofErr w:type="spellStart"/>
      <w:r>
        <w:t>Cand</w:t>
      </w:r>
      <w:proofErr w:type="spellEnd"/>
      <w:r>
        <w:t>. Polit. (Comparative politics) University of Bergen, 1995</w:t>
      </w:r>
    </w:p>
    <w:p w:rsidR="0097351E" w:rsidRDefault="00736CFE">
      <w:r>
        <w:t>D. Phil. (Middle Eastern studies) University of Oxford, 2003</w:t>
      </w:r>
    </w:p>
    <w:p w:rsidR="0097351E" w:rsidRDefault="00736CFE">
      <w:r>
        <w:t>Research fellow at the Norwegian Institute of International Affairs since 1996</w:t>
      </w:r>
    </w:p>
    <w:p w:rsidR="0097351E" w:rsidRDefault="0097351E">
      <w:pPr>
        <w:rPr>
          <w:b/>
        </w:rPr>
      </w:pPr>
    </w:p>
    <w:p w:rsidR="0097351E" w:rsidRDefault="00736CFE">
      <w:pPr>
        <w:rPr>
          <w:b/>
        </w:rPr>
      </w:pPr>
      <w:r>
        <w:rPr>
          <w:b/>
        </w:rPr>
        <w:t>BOOKS</w:t>
      </w:r>
    </w:p>
    <w:p w:rsidR="0097351E" w:rsidRDefault="00736CFE">
      <w:r>
        <w:rPr>
          <w:i/>
        </w:rPr>
        <w:t>A Responsible end? : The United States and the Iraqi Transition, 2005-2010</w:t>
      </w:r>
      <w:r>
        <w:t>. Charlottesville, Just World Books, 2010</w:t>
      </w:r>
    </w:p>
    <w:p w:rsidR="0097351E" w:rsidRDefault="00736CFE">
      <w:r>
        <w:rPr>
          <w:i/>
        </w:rPr>
        <w:t>An Iraq of Its Regions: Cornerstones of a Federal Democracy?</w:t>
      </w:r>
      <w:r>
        <w:t xml:space="preserve"> New York, Columbia/Hurst, 2008 (edited with Gareth </w:t>
      </w:r>
      <w:proofErr w:type="spellStart"/>
      <w:r>
        <w:t>Stansfield</w:t>
      </w:r>
      <w:proofErr w:type="spellEnd"/>
      <w:r>
        <w:t>)</w:t>
      </w:r>
    </w:p>
    <w:p w:rsidR="0097351E" w:rsidRDefault="00736CFE">
      <w:r>
        <w:rPr>
          <w:i/>
        </w:rPr>
        <w:t>Basra, the Failed Gulf State: Separatism and Nationalism in Southern Iraq</w:t>
      </w:r>
      <w:r>
        <w:t xml:space="preserve">, Berlin, LIT </w:t>
      </w:r>
      <w:proofErr w:type="spellStart"/>
      <w:r>
        <w:t>Verlag</w:t>
      </w:r>
      <w:proofErr w:type="spellEnd"/>
      <w:r>
        <w:t>, 2005</w:t>
      </w:r>
    </w:p>
    <w:p w:rsidR="0097351E" w:rsidRDefault="0097351E">
      <w:pPr>
        <w:rPr>
          <w:b/>
        </w:rPr>
      </w:pPr>
    </w:p>
    <w:p w:rsidR="0097351E" w:rsidRDefault="00736CFE">
      <w:pPr>
        <w:rPr>
          <w:b/>
        </w:rPr>
      </w:pPr>
      <w:r>
        <w:rPr>
          <w:b/>
        </w:rPr>
        <w:t>JOURNAL ARTICLES</w:t>
      </w:r>
    </w:p>
    <w:p w:rsidR="0097351E" w:rsidRDefault="00736CFE">
      <w:r>
        <w:t>“Policing a Messy Federation: The Role of the Iraqi Federal Supreme Court, 2005-2010”, pp. 12-1</w:t>
      </w:r>
      <w:r w:rsidR="00FD6CCD">
        <w:t>8</w:t>
      </w:r>
      <w:r>
        <w:t xml:space="preserve"> in </w:t>
      </w:r>
      <w:r>
        <w:rPr>
          <w:i/>
        </w:rPr>
        <w:t>Orient</w:t>
      </w:r>
      <w:r>
        <w:t xml:space="preserve"> vol. 52 no. 2, 2011</w:t>
      </w:r>
    </w:p>
    <w:p w:rsidR="0097351E" w:rsidRDefault="00736CFE">
      <w:r>
        <w:t xml:space="preserve">“Religious Allegiances among Pro-Iranian Special Groups in Iraq”, </w:t>
      </w:r>
      <w:r>
        <w:rPr>
          <w:i/>
        </w:rPr>
        <w:t>CTC Sentinel</w:t>
      </w:r>
      <w:r>
        <w:t>, September 2011</w:t>
      </w:r>
    </w:p>
    <w:p w:rsidR="0097351E" w:rsidRDefault="00736CFE">
      <w:r>
        <w:t xml:space="preserve">“The territorial aspect of sectarianism in Iraq”, pp. 295-305 in </w:t>
      </w:r>
      <w:r>
        <w:rPr>
          <w:i/>
        </w:rPr>
        <w:t>International Journal of Contemporary Iraq Studies</w:t>
      </w:r>
      <w:r>
        <w:t>, vol. 4 no. 3, 2010</w:t>
      </w:r>
    </w:p>
    <w:p w:rsidR="0097351E" w:rsidRDefault="00736CFE">
      <w:r>
        <w:t xml:space="preserve">“Iraq Moves Backward”, </w:t>
      </w:r>
      <w:r>
        <w:rPr>
          <w:i/>
        </w:rPr>
        <w:t>Middle East Report</w:t>
      </w:r>
      <w:r>
        <w:t xml:space="preserve"> no. 255, Summer 2010, pp. 2-7</w:t>
      </w:r>
    </w:p>
    <w:p w:rsidR="0097351E" w:rsidRDefault="00736CFE">
      <w:r>
        <w:t xml:space="preserve">“Tribalism in Iraq: resurgent force or anachronism in the modern state?”  </w:t>
      </w:r>
      <w:r>
        <w:rPr>
          <w:i/>
        </w:rPr>
        <w:t>Contemporary Arab Affairs</w:t>
      </w:r>
      <w:r>
        <w:t>, vol. 3 no. 47, 2010 pp. 495-502</w:t>
      </w:r>
    </w:p>
    <w:p w:rsidR="0097351E" w:rsidRDefault="00736CFE">
      <w:r>
        <w:t xml:space="preserve">“The Kurdish Issue in Iraq: A View from Baghdad at the Close of the Maliki Premiership”, </w:t>
      </w:r>
      <w:r>
        <w:rPr>
          <w:i/>
        </w:rPr>
        <w:t>Fletcher Forum of World Affairs</w:t>
      </w:r>
      <w:r w:rsidR="005E15F8">
        <w:t>, vol. 34, no. 1</w:t>
      </w:r>
      <w:r>
        <w:t xml:space="preserve">, </w:t>
      </w:r>
      <w:r w:rsidR="005E15F8">
        <w:t xml:space="preserve">2010, </w:t>
      </w:r>
      <w:r>
        <w:t>pp. 77-94</w:t>
      </w:r>
    </w:p>
    <w:p w:rsidR="0097351E" w:rsidRDefault="00736CFE">
      <w:r>
        <w:t xml:space="preserve">“New Non-State Players and Implications for Regional Security: The Case of the Shiite Religious Establishment of Iraq”, </w:t>
      </w:r>
      <w:r>
        <w:rPr>
          <w:i/>
        </w:rPr>
        <w:t xml:space="preserve">SAIS Review </w:t>
      </w:r>
      <w:r>
        <w:t>vol. 29, no.2, 2009, pp. 11-20</w:t>
      </w:r>
    </w:p>
    <w:p w:rsidR="0097351E" w:rsidRDefault="00736CFE">
      <w:r>
        <w:t xml:space="preserve">“Proto-political conceptions of ‘Iraq’ in late Ottoman times”, </w:t>
      </w:r>
      <w:r>
        <w:rPr>
          <w:i/>
        </w:rPr>
        <w:t>International Journal of Contemporary Iraqi Studies</w:t>
      </w:r>
      <w:r>
        <w:t>, Volume 3, Number 2, 2009, pp. 143-154</w:t>
      </w:r>
    </w:p>
    <w:p w:rsidR="0097351E" w:rsidRDefault="00736CFE">
      <w:r>
        <w:t xml:space="preserve">“Taming the Hegemonic Power: SCIRI and the Evolution of US Policy in Iraq”, </w:t>
      </w:r>
      <w:r>
        <w:rPr>
          <w:i/>
        </w:rPr>
        <w:t>International Journal of Contemporary Iraqi Studies</w:t>
      </w:r>
      <w:r>
        <w:t xml:space="preserve"> vol. 2, no. 1, 2008, pp. 31-51</w:t>
      </w:r>
    </w:p>
    <w:p w:rsidR="0097351E" w:rsidRDefault="00736CFE">
      <w:r>
        <w:lastRenderedPageBreak/>
        <w:t xml:space="preserve">“Maliki, Hakim, and Iran’s Role in the Basra Fighting”, </w:t>
      </w:r>
      <w:r>
        <w:rPr>
          <w:i/>
        </w:rPr>
        <w:t>Terrorism Focus</w:t>
      </w:r>
      <w:r>
        <w:t>, vol. 5 no. 14, 2008</w:t>
      </w:r>
    </w:p>
    <w:p w:rsidR="0097351E" w:rsidRDefault="00736CFE">
      <w:r>
        <w:t xml:space="preserve"> “Historical Myths of a Divided Iraq”, </w:t>
      </w:r>
      <w:r>
        <w:rPr>
          <w:i/>
        </w:rPr>
        <w:t>Survival</w:t>
      </w:r>
      <w:r>
        <w:t>, vol. 50, no. 2, 2008, pp. 95-106</w:t>
      </w:r>
    </w:p>
    <w:p w:rsidR="0097351E" w:rsidRDefault="00736CFE">
      <w:r>
        <w:t xml:space="preserve">“Shia Leaders Disagree on Integration of Sons of Iraq into Army”, </w:t>
      </w:r>
      <w:r>
        <w:rPr>
          <w:i/>
        </w:rPr>
        <w:t>CTC Sentinel</w:t>
      </w:r>
      <w:r>
        <w:t xml:space="preserve">, vol. </w:t>
      </w:r>
      <w:r w:rsidR="00F51635">
        <w:t>1 no. 12, 2008</w:t>
      </w:r>
    </w:p>
    <w:p w:rsidR="0097351E" w:rsidRDefault="00736CFE">
      <w:r>
        <w:t xml:space="preserve">“The Western Imposition of Sectarianism on Iraqi Politics”, in </w:t>
      </w:r>
      <w:r>
        <w:rPr>
          <w:i/>
        </w:rPr>
        <w:t xml:space="preserve">Arab Studies Journal </w:t>
      </w:r>
      <w:r>
        <w:t>vol. 16 no. 1, 2008, pp. 83-99</w:t>
      </w:r>
    </w:p>
    <w:p w:rsidR="0097351E" w:rsidRDefault="00736CFE">
      <w:r>
        <w:t xml:space="preserve">“Ethnicity, Federalism and the Idea of Sectarian Citizenship in Iraq”, in </w:t>
      </w:r>
      <w:r>
        <w:rPr>
          <w:i/>
        </w:rPr>
        <w:t>International Review of the Red Cross</w:t>
      </w:r>
      <w:r>
        <w:t>, vol. 89, no. 868, 2007, pp. 809-22</w:t>
      </w:r>
    </w:p>
    <w:p w:rsidR="0097351E" w:rsidRDefault="00736CFE">
      <w:r>
        <w:t xml:space="preserve">“When to Confront </w:t>
      </w:r>
      <w:proofErr w:type="spellStart"/>
      <w:r>
        <w:t>Mahdists</w:t>
      </w:r>
      <w:proofErr w:type="spellEnd"/>
      <w:r>
        <w:t xml:space="preserve">: A Challenge for the U.S. Military”, </w:t>
      </w:r>
      <w:r>
        <w:rPr>
          <w:i/>
        </w:rPr>
        <w:t>CTC Sentinel</w:t>
      </w:r>
      <w:r>
        <w:t>, vol. 1 no. 7, 2008</w:t>
      </w:r>
    </w:p>
    <w:p w:rsidR="0097351E" w:rsidRDefault="00736CFE">
      <w:r>
        <w:t xml:space="preserve">“Basra, the Reluctant Seat of </w:t>
      </w:r>
      <w:proofErr w:type="spellStart"/>
      <w:r>
        <w:t>Shiastan</w:t>
      </w:r>
      <w:proofErr w:type="spellEnd"/>
      <w:r>
        <w:t xml:space="preserve">”, </w:t>
      </w:r>
      <w:r>
        <w:rPr>
          <w:i/>
        </w:rPr>
        <w:t>Middle East Report</w:t>
      </w:r>
      <w:r>
        <w:t>, no. 242, spring 2007</w:t>
      </w:r>
    </w:p>
    <w:p w:rsidR="0097351E" w:rsidRDefault="00736CFE">
      <w:r>
        <w:t xml:space="preserve">“The Surge, the Shiites and Nation Building in Iraq”, </w:t>
      </w:r>
      <w:r>
        <w:rPr>
          <w:i/>
        </w:rPr>
        <w:t>Terrorism Monitor</w:t>
      </w:r>
      <w:r>
        <w:t>, volume 5, Issue 17, 2007, pp. 23-28</w:t>
      </w:r>
    </w:p>
    <w:p w:rsidR="0097351E" w:rsidRDefault="00736CFE">
      <w:r>
        <w:t xml:space="preserve">“Other People's Maps”, </w:t>
      </w:r>
      <w:r>
        <w:rPr>
          <w:i/>
        </w:rPr>
        <w:t>The Wilson Quarterly</w:t>
      </w:r>
      <w:r>
        <w:t>, Winter 2007</w:t>
      </w:r>
    </w:p>
    <w:p w:rsidR="0097351E" w:rsidRPr="00067FEE" w:rsidRDefault="0097351E"/>
    <w:p w:rsidR="0097351E" w:rsidRDefault="00736CFE">
      <w:pPr>
        <w:rPr>
          <w:b/>
        </w:rPr>
      </w:pPr>
      <w:r>
        <w:rPr>
          <w:b/>
        </w:rPr>
        <w:t>CHAPTERS IN BOOKS</w:t>
      </w:r>
    </w:p>
    <w:p w:rsidR="00A442D2" w:rsidRDefault="00A442D2">
      <w:r>
        <w:t xml:space="preserve">“The Sectarian Master Narrative in Iraqi Historiography: New Challenges Since 2003” in </w:t>
      </w:r>
      <w:proofErr w:type="spellStart"/>
      <w:r>
        <w:t>Jordi</w:t>
      </w:r>
      <w:proofErr w:type="spellEnd"/>
      <w:r>
        <w:t xml:space="preserve"> </w:t>
      </w:r>
      <w:proofErr w:type="spellStart"/>
      <w:r>
        <w:t>Tejel</w:t>
      </w:r>
      <w:proofErr w:type="spellEnd"/>
      <w:r>
        <w:t xml:space="preserve"> et al. (eds.) Writing the Modern History of Iraq: Historiographical and Political Challenges, London: World Scientific Press, 2012 </w:t>
      </w:r>
    </w:p>
    <w:p w:rsidR="00ED6A4C" w:rsidRDefault="00ED6A4C">
      <w:r>
        <w:t xml:space="preserve">“Sectarian Coexistence in Iraq: The Experiences of the Shia in Areas North of Baghdad” in </w:t>
      </w:r>
      <w:proofErr w:type="spellStart"/>
      <w:r>
        <w:t>Imranali</w:t>
      </w:r>
      <w:proofErr w:type="spellEnd"/>
      <w:r>
        <w:t xml:space="preserve"> </w:t>
      </w:r>
      <w:proofErr w:type="spellStart"/>
      <w:r>
        <w:t>Panjawani</w:t>
      </w:r>
      <w:proofErr w:type="spellEnd"/>
      <w:r>
        <w:t xml:space="preserve">  (ed.) </w:t>
      </w:r>
      <w:r w:rsidRPr="00ED6A4C">
        <w:rPr>
          <w:i/>
        </w:rPr>
        <w:t>The Shia of Samarra: The Heritage and Politics of a Community in Iraq</w:t>
      </w:r>
      <w:r>
        <w:t xml:space="preserve">, London: IB </w:t>
      </w:r>
      <w:proofErr w:type="spellStart"/>
      <w:r>
        <w:t>Tauris</w:t>
      </w:r>
      <w:proofErr w:type="spellEnd"/>
      <w:r>
        <w:t>, 2012</w:t>
      </w:r>
    </w:p>
    <w:p w:rsidR="0097351E" w:rsidRDefault="00736CFE">
      <w:r>
        <w:t xml:space="preserve">“Iraq” in </w:t>
      </w:r>
      <w:proofErr w:type="spellStart"/>
      <w:r>
        <w:t>Assaf</w:t>
      </w:r>
      <w:proofErr w:type="spellEnd"/>
      <w:r>
        <w:t xml:space="preserve"> </w:t>
      </w:r>
      <w:proofErr w:type="spellStart"/>
      <w:r>
        <w:t>Moghadam</w:t>
      </w:r>
      <w:proofErr w:type="spellEnd"/>
      <w:r>
        <w:t xml:space="preserve"> (ed.) Militancy and Political Violence in </w:t>
      </w:r>
      <w:proofErr w:type="spellStart"/>
      <w:r>
        <w:t>Shiism</w:t>
      </w:r>
      <w:proofErr w:type="spellEnd"/>
      <w:r>
        <w:t xml:space="preserve">: Trends and Patterns, New York: </w:t>
      </w:r>
      <w:proofErr w:type="spellStart"/>
      <w:r>
        <w:t>Routledge</w:t>
      </w:r>
      <w:proofErr w:type="spellEnd"/>
      <w:r>
        <w:t>, 2011</w:t>
      </w:r>
    </w:p>
    <w:p w:rsidR="0097351E" w:rsidRDefault="00736CFE">
      <w:r>
        <w:t xml:space="preserve">“Social Complexity and National Identity in Hanna </w:t>
      </w:r>
      <w:proofErr w:type="spellStart"/>
      <w:r>
        <w:t>Batatu's</w:t>
      </w:r>
      <w:proofErr w:type="spellEnd"/>
      <w:r>
        <w:t xml:space="preserve"> Scholarship on Iraq”, in Chris </w:t>
      </w:r>
      <w:proofErr w:type="spellStart"/>
      <w:r>
        <w:t>Toensing</w:t>
      </w:r>
      <w:proofErr w:type="spellEnd"/>
      <w:r>
        <w:t xml:space="preserve"> and Mimi kirk (red.) Uncovering Iraq: Trajectories of Disintegration and Transformation, Washington, DC: Georgetown University Press, 2010</w:t>
      </w:r>
    </w:p>
    <w:p w:rsidR="0097351E" w:rsidRDefault="00736CFE">
      <w:r>
        <w:t xml:space="preserve">“Foreword” in </w:t>
      </w:r>
      <w:proofErr w:type="spellStart"/>
      <w:r>
        <w:t>Ramzy</w:t>
      </w:r>
      <w:proofErr w:type="spellEnd"/>
      <w:r>
        <w:t xml:space="preserve"> </w:t>
      </w:r>
      <w:proofErr w:type="spellStart"/>
      <w:r>
        <w:t>Mardini</w:t>
      </w:r>
      <w:proofErr w:type="spellEnd"/>
      <w:r>
        <w:t xml:space="preserve"> (ed.), Volatile Landscape : Iraq and Its Insurgent Movements, Washington, DC: The Jamestown Foundation, 2010</w:t>
      </w:r>
    </w:p>
    <w:p w:rsidR="0097351E" w:rsidRDefault="00736CFE">
      <w:proofErr w:type="spellStart"/>
      <w:r>
        <w:t>Shi'i</w:t>
      </w:r>
      <w:proofErr w:type="spellEnd"/>
      <w:r>
        <w:t xml:space="preserve"> Perspectives on a Federal Iraq: Territory, Community and Ideology in Conceptions of a New Polity, in Daniel </w:t>
      </w:r>
      <w:proofErr w:type="spellStart"/>
      <w:r>
        <w:t>Heradstveit</w:t>
      </w:r>
      <w:proofErr w:type="spellEnd"/>
      <w:r>
        <w:t xml:space="preserve"> and </w:t>
      </w:r>
      <w:proofErr w:type="spellStart"/>
      <w:r>
        <w:t>Helge</w:t>
      </w:r>
      <w:proofErr w:type="spellEnd"/>
      <w:r>
        <w:t xml:space="preserve"> </w:t>
      </w:r>
      <w:proofErr w:type="spellStart"/>
      <w:r>
        <w:t>Hveem</w:t>
      </w:r>
      <w:proofErr w:type="spellEnd"/>
      <w:r>
        <w:t xml:space="preserve"> (eds.) Oil in the Gulf: Obstacles to Democracy and Development. Aldershot, </w:t>
      </w:r>
      <w:proofErr w:type="spellStart"/>
      <w:r>
        <w:t>Ashgate</w:t>
      </w:r>
      <w:proofErr w:type="spellEnd"/>
      <w:r>
        <w:t>, 2004</w:t>
      </w:r>
    </w:p>
    <w:p w:rsidR="0097351E" w:rsidRDefault="0097351E">
      <w:pPr>
        <w:rPr>
          <w:b/>
        </w:rPr>
      </w:pPr>
    </w:p>
    <w:p w:rsidR="0097351E" w:rsidRDefault="00736CFE">
      <w:pPr>
        <w:rPr>
          <w:b/>
        </w:rPr>
      </w:pPr>
      <w:r>
        <w:rPr>
          <w:b/>
        </w:rPr>
        <w:t>RESEARCH REPORTS</w:t>
      </w:r>
    </w:p>
    <w:p w:rsidR="0097351E" w:rsidRDefault="00736CFE">
      <w:r>
        <w:lastRenderedPageBreak/>
        <w:t xml:space="preserve">“Iran's </w:t>
      </w:r>
      <w:r w:rsidR="00F51635">
        <w:t>R</w:t>
      </w:r>
      <w:r>
        <w:t xml:space="preserve">ole in </w:t>
      </w:r>
      <w:r w:rsidR="00F51635">
        <w:t>P</w:t>
      </w:r>
      <w:r>
        <w:t>ost-</w:t>
      </w:r>
      <w:r w:rsidR="00F51635">
        <w:t>Occupation Iraq : E</w:t>
      </w:r>
      <w:r>
        <w:t xml:space="preserve">nemy, </w:t>
      </w:r>
      <w:r w:rsidR="00F51635">
        <w:t>G</w:t>
      </w:r>
      <w:r>
        <w:t xml:space="preserve">ood </w:t>
      </w:r>
      <w:proofErr w:type="spellStart"/>
      <w:r w:rsidR="00F51635">
        <w:t>N</w:t>
      </w:r>
      <w:r>
        <w:t>eighbor</w:t>
      </w:r>
      <w:proofErr w:type="spellEnd"/>
      <w:r>
        <w:t xml:space="preserve">, or </w:t>
      </w:r>
      <w:r w:rsidR="00F51635">
        <w:t>O</w:t>
      </w:r>
      <w:r>
        <w:t xml:space="preserve">verlord?” New York: The Century Foundation, 2009 </w:t>
      </w:r>
    </w:p>
    <w:p w:rsidR="0097351E" w:rsidRDefault="00736CFE">
      <w:r>
        <w:t>More than «Shiites» and «Sunnis» How a Post-Sectarian Strategy Can Change the Logic and Facilitate Sustainable Political Reform in Iraq. Oslo, NUPI, 2009</w:t>
      </w:r>
    </w:p>
    <w:p w:rsidR="0097351E" w:rsidRDefault="00736CFE">
      <w:r>
        <w:t xml:space="preserve">The </w:t>
      </w:r>
      <w:proofErr w:type="spellStart"/>
      <w:r>
        <w:t>Sadrists</w:t>
      </w:r>
      <w:proofErr w:type="spellEnd"/>
      <w:r>
        <w:t xml:space="preserve"> of Basra and the Far South of Iraq. The Most Unpredictable Political Force in the Gulf’s Oil-Belt Region? NUPI-</w:t>
      </w:r>
      <w:proofErr w:type="spellStart"/>
      <w:r>
        <w:t>notat</w:t>
      </w:r>
      <w:proofErr w:type="spellEnd"/>
      <w:r>
        <w:t>: 734, 2008</w:t>
      </w:r>
    </w:p>
    <w:p w:rsidR="0097351E" w:rsidRDefault="00736CFE">
      <w:r>
        <w:t>Basra Crude: The Great Game of Iraq’s “Southern” Oil. NUPI-</w:t>
      </w:r>
      <w:proofErr w:type="spellStart"/>
      <w:r>
        <w:t>notat</w:t>
      </w:r>
      <w:proofErr w:type="spellEnd"/>
      <w:r>
        <w:t>: 723, 2007</w:t>
      </w:r>
    </w:p>
    <w:p w:rsidR="0097351E" w:rsidRDefault="00736CFE">
      <w:r>
        <w:t xml:space="preserve">Sistani, the United States and Politics in Iraq: From </w:t>
      </w:r>
      <w:proofErr w:type="spellStart"/>
      <w:r>
        <w:t>Quietism</w:t>
      </w:r>
      <w:proofErr w:type="spellEnd"/>
      <w:r>
        <w:t xml:space="preserve"> to Machiavellianism? NUPI-</w:t>
      </w:r>
      <w:proofErr w:type="spellStart"/>
      <w:r>
        <w:t>notat</w:t>
      </w:r>
      <w:proofErr w:type="spellEnd"/>
      <w:r>
        <w:t>: 700, 2006</w:t>
      </w:r>
    </w:p>
    <w:p w:rsidR="0097351E" w:rsidRPr="00067FEE" w:rsidRDefault="00736CFE">
      <w:pPr>
        <w:rPr>
          <w:lang w:val="nb-NO"/>
        </w:rPr>
      </w:pPr>
      <w:proofErr w:type="spellStart"/>
      <w:r>
        <w:t>Shi'i</w:t>
      </w:r>
      <w:proofErr w:type="spellEnd"/>
      <w:r>
        <w:t xml:space="preserve"> Separatism in Iraq.: Internet Reverie or Real Constitutional Challenge? </w:t>
      </w:r>
      <w:r w:rsidRPr="00067FEE">
        <w:rPr>
          <w:lang w:val="nb-NO"/>
        </w:rPr>
        <w:t xml:space="preserve">NUPI-notat: 686, 2005 </w:t>
      </w:r>
    </w:p>
    <w:p w:rsidR="0097351E" w:rsidRPr="00067FEE" w:rsidRDefault="0097351E">
      <w:pPr>
        <w:rPr>
          <w:lang w:val="nb-NO"/>
        </w:rPr>
      </w:pPr>
    </w:p>
    <w:p w:rsidR="0097351E" w:rsidRPr="00067FEE" w:rsidRDefault="00736CFE">
      <w:pPr>
        <w:rPr>
          <w:b/>
          <w:lang w:val="nb-NO"/>
        </w:rPr>
      </w:pPr>
      <w:r w:rsidRPr="00067FEE">
        <w:rPr>
          <w:b/>
          <w:lang w:val="nb-NO"/>
        </w:rPr>
        <w:t>BLOGS</w:t>
      </w:r>
    </w:p>
    <w:p w:rsidR="0097351E" w:rsidRPr="00067FEE" w:rsidRDefault="00AA15A8">
      <w:pPr>
        <w:rPr>
          <w:lang w:val="nb-NO"/>
        </w:rPr>
      </w:pPr>
      <w:hyperlink r:id="rId7" w:history="1">
        <w:r w:rsidR="00736CFE" w:rsidRPr="00067FEE">
          <w:rPr>
            <w:rStyle w:val="Hyperlink"/>
            <w:lang w:val="nb-NO"/>
          </w:rPr>
          <w:t>www.historiae.org</w:t>
        </w:r>
      </w:hyperlink>
    </w:p>
    <w:p w:rsidR="0097351E" w:rsidRPr="00067FEE" w:rsidRDefault="00AA15A8">
      <w:pPr>
        <w:rPr>
          <w:lang w:val="nb-NO"/>
        </w:rPr>
      </w:pPr>
      <w:hyperlink r:id="rId8" w:history="1">
        <w:r w:rsidR="00736CFE" w:rsidRPr="00067FEE">
          <w:rPr>
            <w:rStyle w:val="Hyperlink"/>
            <w:lang w:val="nb-NO"/>
          </w:rPr>
          <w:t>http://gulfanalysis.wordpress.com</w:t>
        </w:r>
      </w:hyperlink>
    </w:p>
    <w:p w:rsidR="0097351E" w:rsidRDefault="00AA15A8">
      <w:pPr>
        <w:rPr>
          <w:lang w:val="nb-NO"/>
        </w:rPr>
      </w:pPr>
      <w:hyperlink r:id="rId9" w:history="1">
        <w:r w:rsidR="00ED6A4C" w:rsidRPr="00E56E3A">
          <w:rPr>
            <w:rStyle w:val="Hyperlink"/>
            <w:lang w:val="nb-NO"/>
          </w:rPr>
          <w:t>http://twitter.com/reidarvisser</w:t>
        </w:r>
      </w:hyperlink>
    </w:p>
    <w:p w:rsidR="0097351E" w:rsidRPr="00067FEE" w:rsidRDefault="00736CFE">
      <w:pPr>
        <w:rPr>
          <w:b/>
          <w:lang w:val="nb-NO"/>
        </w:rPr>
      </w:pPr>
      <w:r w:rsidRPr="00067FEE">
        <w:rPr>
          <w:b/>
          <w:lang w:val="nb-NO"/>
        </w:rPr>
        <w:t>CONTACT</w:t>
      </w:r>
    </w:p>
    <w:p w:rsidR="0097351E" w:rsidRDefault="00736CFE">
      <w:r>
        <w:t>rv@nupi.no</w:t>
      </w:r>
    </w:p>
    <w:p w:rsidR="0097351E" w:rsidRDefault="0097351E"/>
    <w:sectPr w:rsidR="0097351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A8" w:rsidRDefault="00AA15A8">
      <w:pPr>
        <w:spacing w:after="0" w:line="240" w:lineRule="auto"/>
      </w:pPr>
      <w:r>
        <w:separator/>
      </w:r>
    </w:p>
  </w:endnote>
  <w:endnote w:type="continuationSeparator" w:id="0">
    <w:p w:rsidR="00AA15A8" w:rsidRDefault="00AA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A8" w:rsidRDefault="00AA15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A15A8" w:rsidRDefault="00AA1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351E"/>
    <w:rsid w:val="00067FEE"/>
    <w:rsid w:val="003906FB"/>
    <w:rsid w:val="005E15F8"/>
    <w:rsid w:val="005E62F0"/>
    <w:rsid w:val="00736CFE"/>
    <w:rsid w:val="0097351E"/>
    <w:rsid w:val="00A442D2"/>
    <w:rsid w:val="00AA15A8"/>
    <w:rsid w:val="00C023AB"/>
    <w:rsid w:val="00ED6A4C"/>
    <w:rsid w:val="00F51635"/>
    <w:rsid w:val="00FD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lfanalysis.wordpres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ia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witter.com/reidarviss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742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visser-2-nb</cp:lastModifiedBy>
  <cp:revision>5</cp:revision>
  <dcterms:created xsi:type="dcterms:W3CDTF">2012-01-16T11:25:00Z</dcterms:created>
  <dcterms:modified xsi:type="dcterms:W3CDTF">2012-03-12T22:32:00Z</dcterms:modified>
</cp:coreProperties>
</file>